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Performance Tuning Guide</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Optimizing Reltio MDM platform performance: API throughput, match speed, and ingest tuning</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Performance Tuning Guide</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08 — Operations</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OPS-002</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Performance tuning is critical for high-volume Reltio MDM deployments. This guide covers systematic approaches to diagnosing and resolving performance bottlenecks in data ingestion, match processing, API response times, and stewardship workflows. Mastech Digital has optimized Reltio deployments from 5,000 to 50,000+ entities/sec ingest throughput using the techniques documented here.</w:t>
      </w:r>
    </w:p>
    <w:p/>
    <w:p>
      <w:pPr>
        <w:pStyle w:val="Heading1"/>
      </w:pPr>
      <w:r>
        <w:t>Table of Contents</w:t>
      </w:r>
    </w:p>
    <w:p>
      <w:pPr>
        <w:spacing w:after="60"/>
      </w:pPr>
      <w:r>
        <w:rPr>
          <w:color w:val="0C548A"/>
          <w:sz w:val="22"/>
        </w:rPr>
        <w:t>1.0  Performance Baselines</w:t>
      </w:r>
    </w:p>
    <w:p>
      <w:pPr>
        <w:spacing w:after="60"/>
      </w:pPr>
      <w:r>
        <w:rPr>
          <w:color w:val="0C548A"/>
          <w:sz w:val="22"/>
        </w:rPr>
        <w:t>2.0  Ingest Performance</w:t>
      </w:r>
    </w:p>
    <w:p>
      <w:pPr>
        <w:spacing w:after="60"/>
      </w:pPr>
      <w:r>
        <w:rPr>
          <w:color w:val="0C548A"/>
          <w:sz w:val="22"/>
        </w:rPr>
        <w:t>3.0  Match Engine Tuning</w:t>
      </w:r>
    </w:p>
    <w:p>
      <w:pPr>
        <w:spacing w:after="60"/>
      </w:pPr>
      <w:r>
        <w:rPr>
          <w:color w:val="0C548A"/>
          <w:sz w:val="22"/>
        </w:rPr>
        <w:t>4.0  API Latency Optimization</w:t>
      </w:r>
    </w:p>
    <w:p>
      <w:pPr>
        <w:spacing w:after="60"/>
      </w:pPr>
      <w:r>
        <w:rPr>
          <w:color w:val="0C548A"/>
          <w:sz w:val="22"/>
        </w:rPr>
        <w:t>5.0  Query Performance</w:t>
      </w:r>
    </w:p>
    <w:p>
      <w:pPr>
        <w:spacing w:after="60"/>
      </w:pPr>
      <w:r>
        <w:rPr>
          <w:color w:val="0C548A"/>
          <w:sz w:val="22"/>
        </w:rPr>
        <w:t>6.0  Capacity Planning</w:t>
      </w:r>
    </w:p>
    <w:p>
      <w:r>
        <w:br w:type="page"/>
      </w:r>
    </w:p>
    <w:p>
      <w:pPr>
        <w:pStyle w:val="Heading1"/>
      </w:pPr>
      <w:r>
        <w:t>1. Performance Baselines</w:t>
      </w:r>
    </w:p>
    <w:p>
      <w:pPr>
        <w:pStyle w:val="Heading2"/>
      </w:pPr>
      <w:r>
        <w:t>1.1 Reltio Platform Default Capacities</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Operation</w:t>
            </w:r>
          </w:p>
        </w:tc>
        <w:tc>
          <w:tcPr>
            <w:tcW w:type="dxa" w:w="2340"/>
            <w:shd w:fill="0C548A" w:val="clear"/>
          </w:tcPr>
          <w:p>
            <w:r>
              <w:rPr>
                <w:b/>
                <w:color w:val="FFFFFF"/>
                <w:sz w:val="20"/>
              </w:rPr>
              <w:t>Default Capacity</w:t>
            </w:r>
          </w:p>
        </w:tc>
        <w:tc>
          <w:tcPr>
            <w:tcW w:type="dxa" w:w="2340"/>
            <w:shd w:fill="0C548A" w:val="clear"/>
          </w:tcPr>
          <w:p>
            <w:r>
              <w:rPr>
                <w:b/>
                <w:color w:val="FFFFFF"/>
                <w:sz w:val="20"/>
              </w:rPr>
              <w:t>Enhanced Capacity</w:t>
            </w:r>
          </w:p>
        </w:tc>
        <w:tc>
          <w:tcPr>
            <w:tcW w:type="dxa" w:w="2340"/>
            <w:shd w:fill="0C548A" w:val="clear"/>
          </w:tcPr>
          <w:p>
            <w:r>
              <w:rPr>
                <w:b/>
                <w:color w:val="FFFFFF"/>
                <w:sz w:val="20"/>
              </w:rPr>
              <w:t>Notes</w:t>
            </w:r>
          </w:p>
        </w:tc>
      </w:tr>
      <w:tr>
        <w:tc>
          <w:tcPr>
            <w:tcW w:type="dxa" w:w="2340"/>
          </w:tcPr>
          <w:p>
            <w:r>
              <w:rPr>
                <w:sz w:val="20"/>
              </w:rPr>
              <w:t>REST API (write)</w:t>
            </w:r>
          </w:p>
        </w:tc>
        <w:tc>
          <w:tcPr>
            <w:tcW w:type="dxa" w:w="2340"/>
          </w:tcPr>
          <w:p>
            <w:r>
              <w:rPr>
                <w:sz w:val="20"/>
              </w:rPr>
              <w:t>500 req/sec</w:t>
            </w:r>
          </w:p>
        </w:tc>
        <w:tc>
          <w:tcPr>
            <w:tcW w:type="dxa" w:w="2340"/>
          </w:tcPr>
          <w:p>
            <w:r>
              <w:rPr>
                <w:sz w:val="20"/>
              </w:rPr>
              <w:t>Custom — contact Reltio</w:t>
            </w:r>
          </w:p>
        </w:tc>
        <w:tc>
          <w:tcPr>
            <w:tcW w:type="dxa" w:w="2340"/>
          </w:tcPr>
          <w:p>
            <w:r>
              <w:rPr>
                <w:sz w:val="20"/>
              </w:rPr>
              <w:t>Per tenant limit</w:t>
            </w:r>
          </w:p>
        </w:tc>
      </w:tr>
      <w:tr>
        <w:tc>
          <w:tcPr>
            <w:tcW w:type="dxa" w:w="2340"/>
            <w:shd w:fill="F4F6FA" w:val="clear"/>
          </w:tcPr>
          <w:p>
            <w:r>
              <w:rPr>
                <w:sz w:val="20"/>
              </w:rPr>
              <w:t>REST API (read)</w:t>
            </w:r>
          </w:p>
        </w:tc>
        <w:tc>
          <w:tcPr>
            <w:tcW w:type="dxa" w:w="2340"/>
            <w:shd w:fill="F4F6FA" w:val="clear"/>
          </w:tcPr>
          <w:p>
            <w:r>
              <w:rPr>
                <w:sz w:val="20"/>
              </w:rPr>
              <w:t>1,000 req/sec</w:t>
            </w:r>
          </w:p>
        </w:tc>
        <w:tc>
          <w:tcPr>
            <w:tcW w:type="dxa" w:w="2340"/>
            <w:shd w:fill="F4F6FA" w:val="clear"/>
          </w:tcPr>
          <w:p>
            <w:r>
              <w:rPr>
                <w:sz w:val="20"/>
              </w:rPr>
              <w:t>Custom</w:t>
            </w:r>
          </w:p>
        </w:tc>
        <w:tc>
          <w:tcPr>
            <w:tcW w:type="dxa" w:w="2340"/>
            <w:shd w:fill="F4F6FA" w:val="clear"/>
          </w:tcPr>
          <w:p>
            <w:r>
              <w:rPr>
                <w:sz w:val="20"/>
              </w:rPr>
              <w:t>Includes search and filter</w:t>
            </w:r>
          </w:p>
        </w:tc>
      </w:tr>
      <w:tr>
        <w:tc>
          <w:tcPr>
            <w:tcW w:type="dxa" w:w="2340"/>
          </w:tcPr>
          <w:p>
            <w:r>
              <w:rPr>
                <w:sz w:val="20"/>
              </w:rPr>
              <w:t>Bulk API jobs</w:t>
            </w:r>
          </w:p>
        </w:tc>
        <w:tc>
          <w:tcPr>
            <w:tcW w:type="dxa" w:w="2340"/>
          </w:tcPr>
          <w:p>
            <w:r>
              <w:rPr>
                <w:sz w:val="20"/>
              </w:rPr>
              <w:t>4 concurrent</w:t>
            </w:r>
          </w:p>
        </w:tc>
        <w:tc>
          <w:tcPr>
            <w:tcW w:type="dxa" w:w="2340"/>
          </w:tcPr>
          <w:p>
            <w:r>
              <w:rPr>
                <w:sz w:val="20"/>
              </w:rPr>
              <w:t>Up to 16</w:t>
            </w:r>
          </w:p>
        </w:tc>
        <w:tc>
          <w:tcPr>
            <w:tcW w:type="dxa" w:w="2340"/>
          </w:tcPr>
          <w:p>
            <w:r>
              <w:rPr>
                <w:sz w:val="20"/>
              </w:rPr>
              <w:t>Request via support</w:t>
            </w:r>
          </w:p>
        </w:tc>
      </w:tr>
      <w:tr>
        <w:tc>
          <w:tcPr>
            <w:tcW w:type="dxa" w:w="2340"/>
            <w:shd w:fill="F4F6FA" w:val="clear"/>
          </w:tcPr>
          <w:p>
            <w:r>
              <w:rPr>
                <w:sz w:val="20"/>
              </w:rPr>
              <w:t>Bulk file size</w:t>
            </w:r>
          </w:p>
        </w:tc>
        <w:tc>
          <w:tcPr>
            <w:tcW w:type="dxa" w:w="2340"/>
            <w:shd w:fill="F4F6FA" w:val="clear"/>
          </w:tcPr>
          <w:p>
            <w:r>
              <w:rPr>
                <w:sz w:val="20"/>
              </w:rPr>
              <w:t>500MB per file</w:t>
            </w:r>
          </w:p>
        </w:tc>
        <w:tc>
          <w:tcPr>
            <w:tcW w:type="dxa" w:w="2340"/>
            <w:shd w:fill="F4F6FA" w:val="clear"/>
          </w:tcPr>
          <w:p>
            <w:r>
              <w:rPr>
                <w:sz w:val="20"/>
              </w:rPr>
              <w:t>Custom</w:t>
            </w:r>
          </w:p>
        </w:tc>
        <w:tc>
          <w:tcPr>
            <w:tcW w:type="dxa" w:w="2340"/>
            <w:shd w:fill="F4F6FA" w:val="clear"/>
          </w:tcPr>
          <w:p>
            <w:r>
              <w:rPr>
                <w:sz w:val="20"/>
              </w:rPr>
              <w:t>Split large files</w:t>
            </w:r>
          </w:p>
        </w:tc>
      </w:tr>
      <w:tr>
        <w:tc>
          <w:tcPr>
            <w:tcW w:type="dxa" w:w="2340"/>
          </w:tcPr>
          <w:p>
            <w:r>
              <w:rPr>
                <w:sz w:val="20"/>
              </w:rPr>
              <w:t>Match throughput</w:t>
            </w:r>
          </w:p>
        </w:tc>
        <w:tc>
          <w:tcPr>
            <w:tcW w:type="dxa" w:w="2340"/>
          </w:tcPr>
          <w:p>
            <w:r>
              <w:rPr>
                <w:sz w:val="20"/>
              </w:rPr>
              <w:t>10K entities/sec</w:t>
            </w:r>
          </w:p>
        </w:tc>
        <w:tc>
          <w:tcPr>
            <w:tcW w:type="dxa" w:w="2340"/>
          </w:tcPr>
          <w:p>
            <w:r>
              <w:rPr>
                <w:sz w:val="20"/>
              </w:rPr>
              <w:t>Custom</w:t>
            </w:r>
          </w:p>
        </w:tc>
        <w:tc>
          <w:tcPr>
            <w:tcW w:type="dxa" w:w="2340"/>
          </w:tcPr>
          <w:p>
            <w:r>
              <w:rPr>
                <w:sz w:val="20"/>
              </w:rPr>
              <w:t>Depends on rule complexity</w:t>
            </w:r>
          </w:p>
        </w:tc>
      </w:tr>
      <w:tr>
        <w:tc>
          <w:tcPr>
            <w:tcW w:type="dxa" w:w="2340"/>
            <w:shd w:fill="F4F6FA" w:val="clear"/>
          </w:tcPr>
          <w:p>
            <w:r>
              <w:rPr>
                <w:sz w:val="20"/>
              </w:rPr>
              <w:t>Streaming events</w:t>
            </w:r>
          </w:p>
        </w:tc>
        <w:tc>
          <w:tcPr>
            <w:tcW w:type="dxa" w:w="2340"/>
            <w:shd w:fill="F4F6FA" w:val="clear"/>
          </w:tcPr>
          <w:p>
            <w:r>
              <w:rPr>
                <w:sz w:val="20"/>
              </w:rPr>
              <w:t>50K events/sec</w:t>
            </w:r>
          </w:p>
        </w:tc>
        <w:tc>
          <w:tcPr>
            <w:tcW w:type="dxa" w:w="2340"/>
            <w:shd w:fill="F4F6FA" w:val="clear"/>
          </w:tcPr>
          <w:p>
            <w:r>
              <w:rPr>
                <w:sz w:val="20"/>
              </w:rPr>
              <w:t>Custom</w:t>
            </w:r>
          </w:p>
        </w:tc>
        <w:tc>
          <w:tcPr>
            <w:tcW w:type="dxa" w:w="2340"/>
            <w:shd w:fill="F4F6FA" w:val="clear"/>
          </w:tcPr>
          <w:p>
            <w:r>
              <w:rPr>
                <w:sz w:val="20"/>
              </w:rPr>
              <w:t>Reltio Streams topic</w:t>
            </w:r>
          </w:p>
        </w:tc>
      </w:tr>
    </w:tbl>
    <w:p/>
    <w:p>
      <w:pPr>
        <w:pStyle w:val="Heading2"/>
      </w:pPr>
      <w:r>
        <w:t>1.2 Performance Measurement Approach</w:t>
      </w:r>
    </w:p>
    <w:p>
      <w:pPr>
        <w:pStyle w:val="ListBullet"/>
      </w:pPr>
      <w:r>
        <w:t>Baseline: Run load test at 10% of target volume, measure latency and error rate</w:t>
      </w:r>
    </w:p>
    <w:p>
      <w:pPr>
        <w:pStyle w:val="ListBullet"/>
      </w:pPr>
      <w:r>
        <w:t>Stress test: Gradually increase to 150% of target — identify breaking point</w:t>
      </w:r>
    </w:p>
    <w:p>
      <w:pPr>
        <w:pStyle w:val="ListBullet"/>
      </w:pPr>
      <w:r>
        <w:t>Soak test: Run at 80% of target for 4 hours — detect memory leaks, degradation</w:t>
      </w:r>
    </w:p>
    <w:p>
      <w:pPr>
        <w:pStyle w:val="ListBullet"/>
      </w:pPr>
      <w:r>
        <w:t>Spike test: Sudden 10x burst — verify graceful degradation and recovery</w:t>
      </w:r>
    </w:p>
    <w:p>
      <w:pPr>
        <w:pStyle w:val="Heading1"/>
      </w:pPr>
      <w:r>
        <w:t>2. Ingest Performance</w:t>
      </w:r>
    </w:p>
    <w:p>
      <w:pPr>
        <w:pStyle w:val="Heading2"/>
      </w:pPr>
      <w:r>
        <w:t>2.1 Bulk API Optimization</w:t>
      </w:r>
    </w:p>
    <w:p>
      <w:pPr>
        <w:pStyle w:val="ListBullet"/>
      </w:pPr>
      <w:r>
        <w:t>Optimal chunk size: 5,000-10,000 entities per file (not 1 or 50,000)</w:t>
      </w:r>
    </w:p>
    <w:p>
      <w:pPr>
        <w:pStyle w:val="ListBullet"/>
      </w:pPr>
      <w:r>
        <w:t>Parallel jobs: Start with 4 concurrent jobs, increase to 8 if error rate stays &lt; 0.1%</w:t>
      </w:r>
    </w:p>
    <w:p>
      <w:pPr>
        <w:pStyle w:val="ListBullet"/>
      </w:pPr>
      <w:r>
        <w:t>File format: JSON Lines (one entity per line) processes 30% faster than JSON array</w:t>
      </w:r>
    </w:p>
    <w:p>
      <w:pPr>
        <w:pStyle w:val="ListBullet"/>
      </w:pPr>
      <w:r>
        <w:t>Attribute minimization: Include only populated attributes — skip null fields</w:t>
      </w:r>
    </w:p>
    <w:p>
      <w:pPr>
        <w:pStyle w:val="ListBullet"/>
      </w:pPr>
      <w:r>
        <w:t>Pre-validate: Run schema validation before submitting to bulk API to avoid job failures</w:t>
      </w:r>
    </w:p>
    <w:p>
      <w:pPr>
        <w:pStyle w:val="Heading2"/>
      </w:pPr>
      <w:r>
        <w:t>2.2 Real-Time Ingest Optimization</w:t>
      </w:r>
    </w:p>
    <w:p>
      <w:pPr>
        <w:pStyle w:val="NoSpacing"/>
        <w:shd w:fill="F5F5F5" w:val="clear"/>
        <w:ind w:left="432"/>
      </w:pPr>
      <w:r>
        <w:rPr>
          <w:rFonts w:ascii="Consolas" w:hAnsi="Consolas"/>
          <w:sz w:val="18"/>
        </w:rPr>
        <w:t># Optimize real-time ingest: batch micro-batches</w:t>
      </w:r>
    </w:p>
    <w:p>
      <w:pPr>
        <w:pStyle w:val="NoSpacing"/>
        <w:shd w:fill="F5F5F5" w:val="clear"/>
        <w:ind w:left="432"/>
      </w:pPr>
      <w:r>
        <w:rPr>
          <w:rFonts w:ascii="Consolas" w:hAnsi="Consolas"/>
          <w:sz w:val="18"/>
        </w:rPr>
        <w:t># Instead of: 1 entity per request (500 req/sec limit)</w:t>
      </w:r>
    </w:p>
    <w:p>
      <w:pPr>
        <w:pStyle w:val="NoSpacing"/>
        <w:shd w:fill="F5F5F5" w:val="clear"/>
        <w:ind w:left="432"/>
      </w:pPr>
      <w:r>
        <w:rPr>
          <w:rFonts w:ascii="Consolas" w:hAnsi="Consolas"/>
          <w:sz w:val="18"/>
        </w:rPr>
        <w:t># Use: batched upsert (10 entities per request = 5,000 entities/sec)</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POST /reltio/api/{tenant}/entities/batch</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{"type": "com.example.Individual", "crossReferences": [...], "attributes": {...}},</w:t>
      </w:r>
    </w:p>
    <w:p>
      <w:pPr>
        <w:pStyle w:val="NoSpacing"/>
        <w:shd w:fill="F5F5F5" w:val="clear"/>
        <w:ind w:left="432"/>
      </w:pPr>
      <w:r>
        <w:rPr>
          <w:rFonts w:ascii="Consolas" w:hAnsi="Consolas"/>
          <w:sz w:val="18"/>
        </w:rPr>
        <w:t xml:space="preserve">  {"type": "com.example.Individual", "crossReferences": [...], "attributes": {...}},</w:t>
      </w:r>
    </w:p>
    <w:p>
      <w:pPr>
        <w:pStyle w:val="NoSpacing"/>
        <w:shd w:fill="F5F5F5" w:val="clear"/>
        <w:ind w:left="432"/>
      </w:pPr>
      <w:r>
        <w:rPr>
          <w:rFonts w:ascii="Consolas" w:hAnsi="Consolas"/>
          <w:sz w:val="18"/>
        </w:rPr>
        <w:t xml:space="preserve">  ... (up to 100 entities per batch)</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Single API call, single rate-limit token, 100x throughput improvement</w:t>
      </w:r>
    </w:p>
    <w:p/>
    <w:p>
      <w:pPr>
        <w:pStyle w:val="Heading1"/>
      </w:pPr>
      <w:r>
        <w:t>3. Match Engine Tuning</w:t>
      </w:r>
    </w:p>
    <w:p>
      <w:pPr>
        <w:pStyle w:val="Heading2"/>
      </w:pPr>
      <w:r>
        <w:t>3.1 Blocking Rule Optimization</w:t>
      </w:r>
    </w:p>
    <w:p>
      <w:r>
        <w:t>Blocking rules are the biggest match performance lever. Poor blocking creates O(n²) comparison pairs; well-designed blocking reduces to O(n log n).</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Blocking Approach</w:t>
            </w:r>
          </w:p>
        </w:tc>
        <w:tc>
          <w:tcPr>
            <w:tcW w:type="dxa" w:w="2340"/>
            <w:shd w:fill="0C548A" w:val="clear"/>
          </w:tcPr>
          <w:p>
            <w:r>
              <w:rPr>
                <w:b/>
                <w:color w:val="FFFFFF"/>
                <w:sz w:val="20"/>
              </w:rPr>
              <w:t>Pairs Evaluated</w:t>
            </w:r>
          </w:p>
        </w:tc>
        <w:tc>
          <w:tcPr>
            <w:tcW w:type="dxa" w:w="2340"/>
            <w:shd w:fill="0C548A" w:val="clear"/>
          </w:tcPr>
          <w:p>
            <w:r>
              <w:rPr>
                <w:b/>
                <w:color w:val="FFFFFF"/>
                <w:sz w:val="20"/>
              </w:rPr>
              <w:t>Coverage</w:t>
            </w:r>
          </w:p>
        </w:tc>
        <w:tc>
          <w:tcPr>
            <w:tcW w:type="dxa" w:w="2340"/>
            <w:shd w:fill="0C548A" w:val="clear"/>
          </w:tcPr>
          <w:p>
            <w:r>
              <w:rPr>
                <w:b/>
                <w:color w:val="FFFFFF"/>
                <w:sz w:val="20"/>
              </w:rPr>
              <w:t>Recommended?</w:t>
            </w:r>
          </w:p>
        </w:tc>
      </w:tr>
      <w:tr>
        <w:tc>
          <w:tcPr>
            <w:tcW w:type="dxa" w:w="2340"/>
          </w:tcPr>
          <w:p>
            <w:r>
              <w:rPr>
                <w:sz w:val="20"/>
              </w:rPr>
              <w:t>No blocking (all vs. all)</w:t>
            </w:r>
          </w:p>
        </w:tc>
        <w:tc>
          <w:tcPr>
            <w:tcW w:type="dxa" w:w="2340"/>
          </w:tcPr>
          <w:p>
            <w:r>
              <w:rPr>
                <w:sz w:val="20"/>
              </w:rPr>
              <w:t>n² pairs (catastrophic at scale)</w:t>
            </w:r>
          </w:p>
        </w:tc>
        <w:tc>
          <w:tcPr>
            <w:tcW w:type="dxa" w:w="2340"/>
          </w:tcPr>
          <w:p>
            <w:r>
              <w:rPr>
                <w:sz w:val="20"/>
              </w:rPr>
              <w:t>100%</w:t>
            </w:r>
          </w:p>
        </w:tc>
        <w:tc>
          <w:tcPr>
            <w:tcW w:type="dxa" w:w="2340"/>
          </w:tcPr>
          <w:p>
            <w:r>
              <w:rPr>
                <w:sz w:val="20"/>
              </w:rPr>
              <w:t>Never</w:t>
            </w:r>
          </w:p>
        </w:tc>
      </w:tr>
      <w:tr>
        <w:tc>
          <w:tcPr>
            <w:tcW w:type="dxa" w:w="2340"/>
            <w:shd w:fill="F4F6FA" w:val="clear"/>
          </w:tcPr>
          <w:p>
            <w:r>
              <w:rPr>
                <w:sz w:val="20"/>
              </w:rPr>
              <w:t>Single token block</w:t>
            </w:r>
          </w:p>
        </w:tc>
        <w:tc>
          <w:tcPr>
            <w:tcW w:type="dxa" w:w="2340"/>
            <w:shd w:fill="F4F6FA" w:val="clear"/>
          </w:tcPr>
          <w:p>
            <w:r>
              <w:rPr>
                <w:sz w:val="20"/>
              </w:rPr>
              <w:t>~1% of n² pairs</w:t>
            </w:r>
          </w:p>
        </w:tc>
        <w:tc>
          <w:tcPr>
            <w:tcW w:type="dxa" w:w="2340"/>
            <w:shd w:fill="F4F6FA" w:val="clear"/>
          </w:tcPr>
          <w:p>
            <w:r>
              <w:rPr>
                <w:sz w:val="20"/>
              </w:rPr>
              <w:t>99%+</w:t>
            </w:r>
          </w:p>
        </w:tc>
        <w:tc>
          <w:tcPr>
            <w:tcW w:type="dxa" w:w="2340"/>
            <w:shd w:fill="F4F6FA" w:val="clear"/>
          </w:tcPr>
          <w:p>
            <w:r>
              <w:rPr>
                <w:sz w:val="20"/>
              </w:rPr>
              <w:t>Good start</w:t>
            </w:r>
          </w:p>
        </w:tc>
      </w:tr>
      <w:tr>
        <w:tc>
          <w:tcPr>
            <w:tcW w:type="dxa" w:w="2340"/>
          </w:tcPr>
          <w:p>
            <w:r>
              <w:rPr>
                <w:sz w:val="20"/>
              </w:rPr>
              <w:t>Composite block (AND)</w:t>
            </w:r>
          </w:p>
        </w:tc>
        <w:tc>
          <w:tcPr>
            <w:tcW w:type="dxa" w:w="2340"/>
          </w:tcPr>
          <w:p>
            <w:r>
              <w:rPr>
                <w:sz w:val="20"/>
              </w:rPr>
              <w:t>~0.1% of n² pairs</w:t>
            </w:r>
          </w:p>
        </w:tc>
        <w:tc>
          <w:tcPr>
            <w:tcW w:type="dxa" w:w="2340"/>
          </w:tcPr>
          <w:p>
            <w:r>
              <w:rPr>
                <w:sz w:val="20"/>
              </w:rPr>
              <w:t>98%+</w:t>
            </w:r>
          </w:p>
        </w:tc>
        <w:tc>
          <w:tcPr>
            <w:tcW w:type="dxa" w:w="2340"/>
          </w:tcPr>
          <w:p>
            <w:r>
              <w:rPr>
                <w:sz w:val="20"/>
              </w:rPr>
              <w:t>Best for large deployments</w:t>
            </w:r>
          </w:p>
        </w:tc>
      </w:tr>
      <w:tr>
        <w:tc>
          <w:tcPr>
            <w:tcW w:type="dxa" w:w="2340"/>
            <w:shd w:fill="F4F6FA" w:val="clear"/>
          </w:tcPr>
          <w:p>
            <w:r>
              <w:rPr>
                <w:sz w:val="20"/>
              </w:rPr>
              <w:t>LSH (Locality-Sensitive Hashing)</w:t>
            </w:r>
          </w:p>
        </w:tc>
        <w:tc>
          <w:tcPr>
            <w:tcW w:type="dxa" w:w="2340"/>
            <w:shd w:fill="F4F6FA" w:val="clear"/>
          </w:tcPr>
          <w:p>
            <w:r>
              <w:rPr>
                <w:sz w:val="20"/>
              </w:rPr>
              <w:t>~0.01% of n² pairs</w:t>
            </w:r>
          </w:p>
        </w:tc>
        <w:tc>
          <w:tcPr>
            <w:tcW w:type="dxa" w:w="2340"/>
            <w:shd w:fill="F4F6FA" w:val="clear"/>
          </w:tcPr>
          <w:p>
            <w:r>
              <w:rPr>
                <w:sz w:val="20"/>
              </w:rPr>
              <w:t>97%+</w:t>
            </w:r>
          </w:p>
        </w:tc>
        <w:tc>
          <w:tcPr>
            <w:tcW w:type="dxa" w:w="2340"/>
            <w:shd w:fill="F4F6FA" w:val="clear"/>
          </w:tcPr>
          <w:p>
            <w:r>
              <w:rPr>
                <w:sz w:val="20"/>
              </w:rPr>
              <w:t>Advanced — high volume only</w:t>
            </w:r>
          </w:p>
        </w:tc>
      </w:tr>
    </w:tbl>
    <w:p/>
    <w:p>
      <w:pPr>
        <w:pStyle w:val="Heading2"/>
      </w:pPr>
      <w:r>
        <w:t>3.2 Rule Complexity Reduction</w:t>
      </w:r>
    </w:p>
    <w:p>
      <w:pPr>
        <w:pStyle w:val="ListBullet"/>
      </w:pPr>
      <w:r>
        <w:t>Limit probabilistic rules to &lt; 6 attribute comparisons — beyond 6 shows diminishing returns</w:t>
      </w:r>
    </w:p>
    <w:p>
      <w:pPr>
        <w:pStyle w:val="ListBullet"/>
      </w:pPr>
      <w:r>
        <w:t>Evaluate rule firing frequency: disable rules that fire on &lt; 1% of entities</w:t>
      </w:r>
    </w:p>
    <w:p>
      <w:pPr>
        <w:pStyle w:val="ListBullet"/>
      </w:pPr>
      <w:r>
        <w:t>Enable ML models only after training data is sufficient (&gt; 1,000 labeled pairs)</w:t>
      </w:r>
    </w:p>
    <w:p>
      <w:pPr>
        <w:pStyle w:val="ListBullet"/>
      </w:pPr>
      <w:r>
        <w:t>Use deterministic rules as pre-filters before probabilistic evaluation</w:t>
      </w:r>
    </w:p>
    <w:p>
      <w:pPr>
        <w:pStyle w:val="Heading1"/>
      </w:pPr>
      <w:r>
        <w:t>4. API Latency Optimization</w:t>
      </w:r>
    </w:p>
    <w:p>
      <w:pPr>
        <w:pStyle w:val="Heading2"/>
      </w:pPr>
      <w:r>
        <w:t>4.1 Client-Side Optimizations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Optimization</w:t>
            </w:r>
          </w:p>
        </w:tc>
        <w:tc>
          <w:tcPr>
            <w:tcW w:type="dxa" w:w="3120"/>
            <w:shd w:fill="0C548A" w:val="clear"/>
          </w:tcPr>
          <w:p>
            <w:r>
              <w:rPr>
                <w:b/>
                <w:color w:val="FFFFFF"/>
                <w:sz w:val="20"/>
              </w:rPr>
              <w:t>Implementation</w:t>
            </w:r>
          </w:p>
        </w:tc>
        <w:tc>
          <w:tcPr>
            <w:tcW w:type="dxa" w:w="3120"/>
            <w:shd w:fill="0C548A" w:val="clear"/>
          </w:tcPr>
          <w:p>
            <w:r>
              <w:rPr>
                <w:b/>
                <w:color w:val="FFFFFF"/>
                <w:sz w:val="20"/>
              </w:rPr>
              <w:t>Expected Improvement</w:t>
            </w:r>
          </w:p>
        </w:tc>
      </w:tr>
      <w:tr>
        <w:tc>
          <w:tcPr>
            <w:tcW w:type="dxa" w:w="3120"/>
          </w:tcPr>
          <w:p>
            <w:r>
              <w:rPr>
                <w:sz w:val="20"/>
              </w:rPr>
              <w:t>Attribute projection</w:t>
            </w:r>
          </w:p>
        </w:tc>
        <w:tc>
          <w:tcPr>
            <w:tcW w:type="dxa" w:w="3120"/>
          </w:tcPr>
          <w:p>
            <w:r>
              <w:rPr>
                <w:sz w:val="20"/>
              </w:rPr>
              <w:t>?attributes=firstName,lastName,email</w:t>
            </w:r>
          </w:p>
        </w:tc>
        <w:tc>
          <w:tcPr>
            <w:tcW w:type="dxa" w:w="3120"/>
          </w:tcPr>
          <w:p>
            <w:r>
              <w:rPr>
                <w:sz w:val="20"/>
              </w:rPr>
              <w:t>40-70% payload reduction</w:t>
            </w:r>
          </w:p>
        </w:tc>
      </w:tr>
      <w:tr>
        <w:tc>
          <w:tcPr>
            <w:tcW w:type="dxa" w:w="3120"/>
            <w:shd w:fill="F4F6FA" w:val="clear"/>
          </w:tcPr>
          <w:p>
            <w:r>
              <w:rPr>
                <w:sz w:val="20"/>
              </w:rPr>
              <w:t>Connection pooling</w:t>
            </w:r>
          </w:p>
        </w:tc>
        <w:tc>
          <w:tcPr>
            <w:tcW w:type="dxa" w:w="3120"/>
            <w:shd w:fill="F4F6FA" w:val="clear"/>
          </w:tcPr>
          <w:p>
            <w:r>
              <w:rPr>
                <w:sz w:val="20"/>
              </w:rPr>
              <w:t>requests.Session() in Python, HttpClient pool in Java</w:t>
            </w:r>
          </w:p>
        </w:tc>
        <w:tc>
          <w:tcPr>
            <w:tcW w:type="dxa" w:w="3120"/>
            <w:shd w:fill="F4F6FA" w:val="clear"/>
          </w:tcPr>
          <w:p>
            <w:r>
              <w:rPr>
                <w:sz w:val="20"/>
              </w:rPr>
              <w:t>20-40% latency reduction</w:t>
            </w:r>
          </w:p>
        </w:tc>
      </w:tr>
      <w:tr>
        <w:tc>
          <w:tcPr>
            <w:tcW w:type="dxa" w:w="3120"/>
          </w:tcPr>
          <w:p>
            <w:r>
              <w:rPr>
                <w:sz w:val="20"/>
              </w:rPr>
              <w:t>Token caching</w:t>
            </w:r>
          </w:p>
        </w:tc>
        <w:tc>
          <w:tcPr>
            <w:tcW w:type="dxa" w:w="3120"/>
          </w:tcPr>
          <w:p>
            <w:r>
              <w:rPr>
                <w:sz w:val="20"/>
              </w:rPr>
              <w:t>Cache OAuth token for 55 minutes</w:t>
            </w:r>
          </w:p>
        </w:tc>
        <w:tc>
          <w:tcPr>
            <w:tcW w:type="dxa" w:w="3120"/>
          </w:tcPr>
          <w:p>
            <w:r>
              <w:rPr>
                <w:sz w:val="20"/>
              </w:rPr>
              <w:t>50ms reduction per call</w:t>
            </w:r>
          </w:p>
        </w:tc>
      </w:tr>
      <w:tr>
        <w:tc>
          <w:tcPr>
            <w:tcW w:type="dxa" w:w="3120"/>
            <w:shd w:fill="F4F6FA" w:val="clear"/>
          </w:tcPr>
          <w:p>
            <w:r>
              <w:rPr>
                <w:sz w:val="20"/>
              </w:rPr>
              <w:t>Async calls</w:t>
            </w:r>
          </w:p>
        </w:tc>
        <w:tc>
          <w:tcPr>
            <w:tcW w:type="dxa" w:w="3120"/>
            <w:shd w:fill="F4F6FA" w:val="clear"/>
          </w:tcPr>
          <w:p>
            <w:r>
              <w:rPr>
                <w:sz w:val="20"/>
              </w:rPr>
              <w:t>asyncio + aiohttp for parallel requests</w:t>
            </w:r>
          </w:p>
        </w:tc>
        <w:tc>
          <w:tcPr>
            <w:tcW w:type="dxa" w:w="3120"/>
            <w:shd w:fill="F4F6FA" w:val="clear"/>
          </w:tcPr>
          <w:p>
            <w:r>
              <w:rPr>
                <w:sz w:val="20"/>
              </w:rPr>
              <w:t>5-10x throughput for I/O-bound</w:t>
            </w:r>
          </w:p>
        </w:tc>
      </w:tr>
      <w:tr>
        <w:tc>
          <w:tcPr>
            <w:tcW w:type="dxa" w:w="3120"/>
          </w:tcPr>
          <w:p>
            <w:r>
              <w:rPr>
                <w:sz w:val="20"/>
              </w:rPr>
              <w:t>Response compression</w:t>
            </w:r>
          </w:p>
        </w:tc>
        <w:tc>
          <w:tcPr>
            <w:tcW w:type="dxa" w:w="3120"/>
          </w:tcPr>
          <w:p>
            <w:r>
              <w:rPr>
                <w:sz w:val="20"/>
              </w:rPr>
              <w:t>Accept-Encoding: gzip in headers</w:t>
            </w:r>
          </w:p>
        </w:tc>
        <w:tc>
          <w:tcPr>
            <w:tcW w:type="dxa" w:w="3120"/>
          </w:tcPr>
          <w:p>
            <w:r>
              <w:rPr>
                <w:sz w:val="20"/>
              </w:rPr>
              <w:t>30-60% payload reduction</w:t>
            </w:r>
          </w:p>
        </w:tc>
      </w:tr>
    </w:tbl>
    <w:p/>
    <w:p>
      <w:pPr>
        <w:pStyle w:val="Heading2"/>
      </w:pPr>
      <w:r>
        <w:t>4.2 Server-Side Optimizations</w:t>
      </w:r>
    </w:p>
    <w:p>
      <w:pPr>
        <w:pStyle w:val="ListBullet"/>
      </w:pPr>
      <w:r>
        <w:t>Request caching: Cache frequently-read reference entities (TTL: 5 minutes)</w:t>
      </w:r>
    </w:p>
    <w:p>
      <w:pPr>
        <w:pStyle w:val="ListBullet"/>
      </w:pPr>
      <w:r>
        <w:t>Read endpoint: Use dedicated read API endpoints for analytics queries</w:t>
      </w:r>
    </w:p>
    <w:p>
      <w:pPr>
        <w:pStyle w:val="ListBullet"/>
      </w:pPr>
      <w:r>
        <w:t>Pagination: Always paginate — avoid requesting &gt; 500 results in one call</w:t>
      </w:r>
    </w:p>
    <w:p>
      <w:pPr>
        <w:pStyle w:val="ListBullet"/>
      </w:pPr>
      <w:r>
        <w:t>Async jobs: Use async job API for bulk reads to avoid request timeouts</w:t>
      </w:r>
    </w:p>
    <w:p>
      <w:pPr>
        <w:pStyle w:val="Heading1"/>
      </w:pPr>
      <w:r>
        <w:t>5. Query Performance</w:t>
      </w:r>
    </w:p>
    <w:p>
      <w:pPr>
        <w:pStyle w:val="Heading2"/>
      </w:pPr>
      <w:r>
        <w:t>5.1 Efficient Filter Queries</w:t>
      </w:r>
    </w:p>
    <w:p>
      <w:pPr>
        <w:pStyle w:val="NoSpacing"/>
        <w:shd w:fill="F5F5F5" w:val="clear"/>
        <w:ind w:left="432"/>
      </w:pPr>
      <w:r>
        <w:rPr>
          <w:rFonts w:ascii="Consolas" w:hAnsi="Consolas"/>
          <w:sz w:val="18"/>
        </w:rPr>
        <w:t># SLOW: Wildcard leading search (full text scan)</w:t>
      </w:r>
    </w:p>
    <w:p>
      <w:pPr>
        <w:pStyle w:val="NoSpacing"/>
        <w:shd w:fill="F5F5F5" w:val="clear"/>
        <w:ind w:left="432"/>
      </w:pPr>
      <w:r>
        <w:rPr>
          <w:rFonts w:ascii="Consolas" w:hAnsi="Consolas"/>
          <w:sz w:val="18"/>
        </w:rPr>
        <w:t>POST /entities/filter</w:t>
      </w:r>
    </w:p>
    <w:p>
      <w:pPr>
        <w:pStyle w:val="NoSpacing"/>
        <w:shd w:fill="F5F5F5" w:val="clear"/>
        <w:ind w:left="432"/>
      </w:pPr>
      <w:r>
        <w:rPr>
          <w:rFonts w:ascii="Consolas" w:hAnsi="Consolas"/>
          <w:sz w:val="18"/>
        </w:rPr>
        <w:t>{"filter": "contains(attributes.lastName, 'smith')"}</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FAST: Exact match with indexed attribute</w:t>
      </w:r>
    </w:p>
    <w:p>
      <w:pPr>
        <w:pStyle w:val="NoSpacing"/>
        <w:shd w:fill="F5F5F5" w:val="clear"/>
        <w:ind w:left="432"/>
      </w:pPr>
      <w:r>
        <w:rPr>
          <w:rFonts w:ascii="Consolas" w:hAnsi="Consolas"/>
          <w:sz w:val="18"/>
        </w:rPr>
        <w:t>POST /entities/filter</w:t>
      </w:r>
    </w:p>
    <w:p>
      <w:pPr>
        <w:pStyle w:val="NoSpacing"/>
        <w:shd w:fill="F5F5F5" w:val="clear"/>
        <w:ind w:left="432"/>
      </w:pPr>
      <w:r>
        <w:rPr>
          <w:rFonts w:ascii="Consolas" w:hAnsi="Consolas"/>
          <w:sz w:val="18"/>
        </w:rPr>
        <w:t>{"filter": "equals(attributes.lastName, 'Smith')"}</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FAST: Use cross-reference lookup (indexed)</w:t>
      </w:r>
    </w:p>
    <w:p>
      <w:pPr>
        <w:pStyle w:val="NoSpacing"/>
        <w:shd w:fill="F5F5F5" w:val="clear"/>
        <w:ind w:left="432"/>
      </w:pPr>
      <w:r>
        <w:rPr>
          <w:rFonts w:ascii="Consolas" w:hAnsi="Consolas"/>
          <w:sz w:val="18"/>
        </w:rPr>
        <w:t>GET /entities?crossReferences=SFDC_CONTACT:003xx000001abc</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FAST: Restrict to entity type before filtering</w:t>
      </w:r>
    </w:p>
    <w:p>
      <w:pPr>
        <w:pStyle w:val="NoSpacing"/>
        <w:shd w:fill="F5F5F5" w:val="clear"/>
        <w:ind w:left="432"/>
      </w:pPr>
      <w:r>
        <w:rPr>
          <w:rFonts w:ascii="Consolas" w:hAnsi="Consolas"/>
          <w:sz w:val="18"/>
        </w:rPr>
        <w:t>POST /entities/filter</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"entityTypes": ["com.example.Individual"],</w:t>
      </w:r>
    </w:p>
    <w:p>
      <w:pPr>
        <w:pStyle w:val="NoSpacing"/>
        <w:shd w:fill="F5F5F5" w:val="clear"/>
        <w:ind w:left="432"/>
      </w:pPr>
      <w:r>
        <w:rPr>
          <w:rFonts w:ascii="Consolas" w:hAnsi="Consolas"/>
          <w:sz w:val="18"/>
        </w:rPr>
        <w:t xml:space="preserve">  "filter": "equals(attributes.taxId, '123456789')"</w:t>
      </w:r>
    </w:p>
    <w:p>
      <w:pPr>
        <w:pStyle w:val="NoSpacing"/>
        <w:shd w:fill="F5F5F5" w:val="clear"/>
        <w:ind w:left="432"/>
      </w:pPr>
      <w:r>
        <w:rPr>
          <w:rFonts w:ascii="Consolas" w:hAnsi="Consolas"/>
          <w:sz w:val="18"/>
        </w:rPr>
        <w:t>}</w:t>
      </w:r>
    </w:p>
    <w:p/>
    <w:p>
      <w:pPr>
        <w:pStyle w:val="Heading2"/>
      </w:pPr>
      <w:r>
        <w:t>5.2 Relationship Query Optimization</w:t>
      </w:r>
    </w:p>
    <w:p>
      <w:pPr>
        <w:pStyle w:val="ListBullet"/>
      </w:pPr>
      <w:r>
        <w:t>Limit relationship traversal depth to minimum needed — each hop adds latency</w:t>
      </w:r>
    </w:p>
    <w:p>
      <w:pPr>
        <w:pStyle w:val="ListBullet"/>
      </w:pPr>
      <w:r>
        <w:t>Filter by relationship type in API call — don't fetch all relations and filter in code</w:t>
      </w:r>
    </w:p>
    <w:p>
      <w:pPr>
        <w:pStyle w:val="ListBullet"/>
      </w:pPr>
      <w:r>
        <w:t>Cache stable relationship data (corporate hierarchy) with long TTL</w:t>
      </w:r>
    </w:p>
    <w:p>
      <w:pPr>
        <w:pStyle w:val="ListBullet"/>
      </w:pPr>
      <w:r>
        <w:t>Use bulk relationship export for analytics scenarios — not real-time API</w:t>
      </w:r>
    </w:p>
    <w:p>
      <w:pPr>
        <w:pStyle w:val="Heading1"/>
      </w:pPr>
      <w:r>
        <w:t>6. Capacity Planning</w:t>
      </w:r>
    </w:p>
    <w:p>
      <w:pPr>
        <w:pStyle w:val="Heading2"/>
      </w:pPr>
      <w:r>
        <w:t>6.1 Sizing Model</w:t>
      </w:r>
    </w:p>
    <w:tbl>
      <w:tblPr>
        <w:tblStyle w:val="TableGrid"/>
        <w:tblW w:type="auto" w:w="0"/>
        <w:tblLayout w:type="autofit"/>
        <w:tblLook w:firstColumn="1" w:firstRow="1" w:lastColumn="0" w:lastRow="0" w:noHBand="0" w:noVBand="1" w:val="04A0"/>
      </w:tblPr>
      <w:tblGrid>
        <w:gridCol w:w="1872"/>
        <w:gridCol w:w="1872"/>
        <w:gridCol w:w="1872"/>
        <w:gridCol w:w="1872"/>
        <w:gridCol w:w="1872"/>
      </w:tblGrid>
      <w:tr>
        <w:tc>
          <w:tcPr>
            <w:tcW w:type="dxa" w:w="1872"/>
            <w:shd w:fill="0C548A" w:val="clear"/>
          </w:tcPr>
          <w:p>
            <w:r>
              <w:rPr>
                <w:b/>
                <w:color w:val="FFFFFF"/>
                <w:sz w:val="20"/>
              </w:rPr>
              <w:t>Entity Volume</w:t>
            </w:r>
          </w:p>
        </w:tc>
        <w:tc>
          <w:tcPr>
            <w:tcW w:type="dxa" w:w="1872"/>
            <w:shd w:fill="0C548A" w:val="clear"/>
          </w:tcPr>
          <w:p>
            <w:r>
              <w:rPr>
                <w:b/>
                <w:color w:val="FFFFFF"/>
                <w:sz w:val="20"/>
              </w:rPr>
              <w:t>Ingest Rate</w:t>
            </w:r>
          </w:p>
        </w:tc>
        <w:tc>
          <w:tcPr>
            <w:tcW w:type="dxa" w:w="1872"/>
            <w:shd w:fill="0C548A" w:val="clear"/>
          </w:tcPr>
          <w:p>
            <w:r>
              <w:rPr>
                <w:b/>
                <w:color w:val="FFFFFF"/>
                <w:sz w:val="20"/>
              </w:rPr>
              <w:t>API Rate</w:t>
            </w:r>
          </w:p>
        </w:tc>
        <w:tc>
          <w:tcPr>
            <w:tcW w:type="dxa" w:w="1872"/>
            <w:shd w:fill="0C548A" w:val="clear"/>
          </w:tcPr>
          <w:p>
            <w:r>
              <w:rPr>
                <w:b/>
                <w:color w:val="FFFFFF"/>
                <w:sz w:val="20"/>
              </w:rPr>
              <w:t>Concurrent Users</w:t>
            </w:r>
          </w:p>
        </w:tc>
        <w:tc>
          <w:tcPr>
            <w:tcW w:type="dxa" w:w="1872"/>
            <w:shd w:fill="0C548A" w:val="clear"/>
          </w:tcPr>
          <w:p>
            <w:r>
              <w:rPr>
                <w:b/>
                <w:color w:val="FFFFFF"/>
                <w:sz w:val="20"/>
              </w:rPr>
              <w:t>Tier</w:t>
            </w:r>
          </w:p>
        </w:tc>
      </w:tr>
      <w:tr>
        <w:tc>
          <w:tcPr>
            <w:tcW w:type="dxa" w:w="1872"/>
          </w:tcPr>
          <w:p>
            <w:r>
              <w:rPr>
                <w:sz w:val="20"/>
              </w:rPr>
              <w:t>&lt; 1M entities</w:t>
            </w:r>
          </w:p>
        </w:tc>
        <w:tc>
          <w:tcPr>
            <w:tcW w:type="dxa" w:w="1872"/>
          </w:tcPr>
          <w:p>
            <w:r>
              <w:rPr>
                <w:sz w:val="20"/>
              </w:rPr>
              <w:t>&lt; 5K/sec</w:t>
            </w:r>
          </w:p>
        </w:tc>
        <w:tc>
          <w:tcPr>
            <w:tcW w:type="dxa" w:w="1872"/>
          </w:tcPr>
          <w:p>
            <w:r>
              <w:rPr>
                <w:sz w:val="20"/>
              </w:rPr>
              <w:t>&lt; 200 req/sec</w:t>
            </w:r>
          </w:p>
        </w:tc>
        <w:tc>
          <w:tcPr>
            <w:tcW w:type="dxa" w:w="1872"/>
          </w:tcPr>
          <w:p>
            <w:r>
              <w:rPr>
                <w:sz w:val="20"/>
              </w:rPr>
              <w:t>&lt; 50</w:t>
            </w:r>
          </w:p>
        </w:tc>
        <w:tc>
          <w:tcPr>
            <w:tcW w:type="dxa" w:w="1872"/>
          </w:tcPr>
          <w:p>
            <w:r>
              <w:rPr>
                <w:sz w:val="20"/>
              </w:rPr>
              <w:t>Standard</w:t>
            </w:r>
          </w:p>
        </w:tc>
      </w:tr>
      <w:tr>
        <w:tc>
          <w:tcPr>
            <w:tcW w:type="dxa" w:w="1872"/>
            <w:shd w:fill="F4F6FA" w:val="clear"/>
          </w:tcPr>
          <w:p>
            <w:r>
              <w:rPr>
                <w:sz w:val="20"/>
              </w:rPr>
              <w:t>1M – 10M</w:t>
            </w:r>
          </w:p>
        </w:tc>
        <w:tc>
          <w:tcPr>
            <w:tcW w:type="dxa" w:w="1872"/>
            <w:shd w:fill="F4F6FA" w:val="clear"/>
          </w:tcPr>
          <w:p>
            <w:r>
              <w:rPr>
                <w:sz w:val="20"/>
              </w:rPr>
              <w:t>5K-20K/sec</w:t>
            </w:r>
          </w:p>
        </w:tc>
        <w:tc>
          <w:tcPr>
            <w:tcW w:type="dxa" w:w="1872"/>
            <w:shd w:fill="F4F6FA" w:val="clear"/>
          </w:tcPr>
          <w:p>
            <w:r>
              <w:rPr>
                <w:sz w:val="20"/>
              </w:rPr>
              <w:t>200-500 req/sec</w:t>
            </w:r>
          </w:p>
        </w:tc>
        <w:tc>
          <w:tcPr>
            <w:tcW w:type="dxa" w:w="1872"/>
            <w:shd w:fill="F4F6FA" w:val="clear"/>
          </w:tcPr>
          <w:p>
            <w:r>
              <w:rPr>
                <w:sz w:val="20"/>
              </w:rPr>
              <w:t>50-200</w:t>
            </w:r>
          </w:p>
        </w:tc>
        <w:tc>
          <w:tcPr>
            <w:tcW w:type="dxa" w:w="1872"/>
            <w:shd w:fill="F4F6FA" w:val="clear"/>
          </w:tcPr>
          <w:p>
            <w:r>
              <w:rPr>
                <w:sz w:val="20"/>
              </w:rPr>
              <w:t>Professional</w:t>
            </w:r>
          </w:p>
        </w:tc>
      </w:tr>
      <w:tr>
        <w:tc>
          <w:tcPr>
            <w:tcW w:type="dxa" w:w="1872"/>
          </w:tcPr>
          <w:p>
            <w:r>
              <w:rPr>
                <w:sz w:val="20"/>
              </w:rPr>
              <w:t>10M – 100M</w:t>
            </w:r>
          </w:p>
        </w:tc>
        <w:tc>
          <w:tcPr>
            <w:tcW w:type="dxa" w:w="1872"/>
          </w:tcPr>
          <w:p>
            <w:r>
              <w:rPr>
                <w:sz w:val="20"/>
              </w:rPr>
              <w:t>20K-100K/sec</w:t>
            </w:r>
          </w:p>
        </w:tc>
        <w:tc>
          <w:tcPr>
            <w:tcW w:type="dxa" w:w="1872"/>
          </w:tcPr>
          <w:p>
            <w:r>
              <w:rPr>
                <w:sz w:val="20"/>
              </w:rPr>
              <w:t>500+ req/sec</w:t>
            </w:r>
          </w:p>
        </w:tc>
        <w:tc>
          <w:tcPr>
            <w:tcW w:type="dxa" w:w="1872"/>
          </w:tcPr>
          <w:p>
            <w:r>
              <w:rPr>
                <w:sz w:val="20"/>
              </w:rPr>
              <w:t>200+</w:t>
            </w:r>
          </w:p>
        </w:tc>
        <w:tc>
          <w:tcPr>
            <w:tcW w:type="dxa" w:w="1872"/>
          </w:tcPr>
          <w:p>
            <w:r>
              <w:rPr>
                <w:sz w:val="20"/>
              </w:rPr>
              <w:t>Enterprise</w:t>
            </w:r>
          </w:p>
        </w:tc>
      </w:tr>
      <w:tr>
        <w:tc>
          <w:tcPr>
            <w:tcW w:type="dxa" w:w="1872"/>
            <w:shd w:fill="F4F6FA" w:val="clear"/>
          </w:tcPr>
          <w:p>
            <w:r>
              <w:rPr>
                <w:sz w:val="20"/>
              </w:rPr>
              <w:t>&gt; 100M</w:t>
            </w:r>
          </w:p>
        </w:tc>
        <w:tc>
          <w:tcPr>
            <w:tcW w:type="dxa" w:w="1872"/>
            <w:shd w:fill="F4F6FA" w:val="clear"/>
          </w:tcPr>
          <w:p>
            <w:r>
              <w:rPr>
                <w:sz w:val="20"/>
              </w:rPr>
              <w:t>Custom</w:t>
            </w:r>
          </w:p>
        </w:tc>
        <w:tc>
          <w:tcPr>
            <w:tcW w:type="dxa" w:w="1872"/>
            <w:shd w:fill="F4F6FA" w:val="clear"/>
          </w:tcPr>
          <w:p>
            <w:r>
              <w:rPr>
                <w:sz w:val="20"/>
              </w:rPr>
              <w:t>Custom</w:t>
            </w:r>
          </w:p>
        </w:tc>
        <w:tc>
          <w:tcPr>
            <w:tcW w:type="dxa" w:w="1872"/>
            <w:shd w:fill="F4F6FA" w:val="clear"/>
          </w:tcPr>
          <w:p>
            <w:r>
              <w:rPr>
                <w:sz w:val="20"/>
              </w:rPr>
              <w:t>Custom</w:t>
            </w:r>
          </w:p>
        </w:tc>
        <w:tc>
          <w:tcPr>
            <w:tcW w:type="dxa" w:w="1872"/>
            <w:shd w:fill="F4F6FA" w:val="clear"/>
          </w:tcPr>
          <w:p>
            <w:r>
              <w:rPr>
                <w:sz w:val="20"/>
              </w:rPr>
              <w:t>Enterprise+</w:t>
            </w:r>
          </w:p>
        </w:tc>
      </w:tr>
    </w:tbl>
    <w:p/>
    <w:p>
      <w:pPr>
        <w:pStyle w:val="Heading2"/>
      </w:pPr>
      <w:r>
        <w:t>6.2 Growth Planning</w:t>
      </w:r>
    </w:p>
    <w:p>
      <w:pPr>
        <w:pStyle w:val="ListBullet"/>
      </w:pPr>
      <w:r>
        <w:t>Monitor entity volume growth monthly — trigger capacity review at 70% of tier limit</w:t>
      </w:r>
    </w:p>
    <w:p>
      <w:pPr>
        <w:pStyle w:val="ListBullet"/>
      </w:pPr>
      <w:r>
        <w:t>Plan for 3x peak volume during migration, year-end close, or marketing campaigns</w:t>
      </w:r>
    </w:p>
    <w:p>
      <w:pPr>
        <w:pStyle w:val="ListBullet"/>
      </w:pPr>
      <w:r>
        <w:t>Request Reltio capacity increases with 4-week lead time minimum</w:t>
      </w:r>
    </w:p>
    <w:p>
      <w:pPr>
        <w:pStyle w:val="ListBullet"/>
      </w:pPr>
      <w:r>
        <w:t>Archive inactive entities (&gt;3 years no activity) to reduce active entity count</w:t>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OPS-001: Deployment Guide</w:t>
            </w:r>
          </w:p>
        </w:tc>
        <w:tc>
          <w:tcPr>
            <w:tcW w:type="dxa" w:w="4680"/>
          </w:tcPr>
          <w:p>
            <w:r>
              <w:rPr>
                <w:sz w:val="20"/>
              </w:rPr>
              <w:t>Reltio Asset Library</w:t>
            </w:r>
          </w:p>
        </w:tc>
      </w:tr>
      <w:tr>
        <w:tc>
          <w:tcPr>
            <w:tcW w:type="dxa" w:w="4680"/>
            <w:shd w:fill="F4F6FA" w:val="clear"/>
          </w:tcPr>
          <w:p>
            <w:r>
              <w:rPr>
                <w:sz w:val="20"/>
              </w:rPr>
              <w:t>OPS-003: Operations Runbook</w:t>
            </w:r>
          </w:p>
        </w:tc>
        <w:tc>
          <w:tcPr>
            <w:tcW w:type="dxa" w:w="4680"/>
            <w:shd w:fill="F4F6FA" w:val="clear"/>
          </w:tcPr>
          <w:p>
            <w:r>
              <w:rPr>
                <w:sz w:val="20"/>
              </w:rPr>
              <w:t>Reltio Asset Library</w:t>
            </w:r>
          </w:p>
        </w:tc>
      </w:tr>
      <w:tr>
        <w:tc>
          <w:tcPr>
            <w:tcW w:type="dxa" w:w="4680"/>
          </w:tcPr>
          <w:p>
            <w:r>
              <w:rPr>
                <w:sz w:val="20"/>
              </w:rPr>
              <w:t>OPS-004: Monitoring &amp; Alerting</w:t>
            </w:r>
          </w:p>
        </w:tc>
        <w:tc>
          <w:tcPr>
            <w:tcW w:type="dxa" w:w="4680"/>
          </w:tcPr>
          <w:p>
            <w:r>
              <w:rPr>
                <w:sz w:val="20"/>
              </w:rPr>
              <w:t>Reltio Asset Library</w:t>
            </w:r>
          </w:p>
        </w:tc>
      </w:tr>
      <w:tr>
        <w:tc>
          <w:tcPr>
            <w:tcW w:type="dxa" w:w="4680"/>
            <w:shd w:fill="F4F6FA" w:val="clear"/>
          </w:tcPr>
          <w:p>
            <w:r>
              <w:rPr>
                <w:sz w:val="20"/>
              </w:rPr>
              <w:t>INT-003: ETL/ELT Integration Patterns</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